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95" w:rsidRPr="00703595" w:rsidRDefault="00703595" w:rsidP="00703595">
      <w:pPr>
        <w:shd w:val="clear" w:color="auto" w:fill="FFFFFF"/>
        <w:spacing w:before="180" w:after="180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pl-PL"/>
        </w:rPr>
        <w:t>CZWARTEK, 2 czerwca 2016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t>REJESTRACJA 8:00-9:30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after="360"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Rejestracja będzie odbywać się ponadto przez wszystkie pozostałe dni na parterze Wydziału Humanistycznego przy ul. Gramatyka 8 a (naprzeciwko głównego wejścia)</w:t>
      </w:r>
    </w:p>
    <w:p w:rsidR="00703595" w:rsidRPr="00703595" w:rsidRDefault="00703595" w:rsidP="00703595">
      <w:pPr>
        <w:shd w:val="clear" w:color="auto" w:fill="FFFFFF"/>
        <w:spacing w:after="360"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Rejestracja obowiązuje zarówno prelegentów, jak i słuchaczy (wstęp wolny)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Obrady przez wszystkie dni będą odbywać się w </w:t>
      </w:r>
      <w:r w:rsidRPr="00703595">
        <w:rPr>
          <w:rFonts w:ascii="inherit" w:eastAsia="Times New Roman" w:hAnsi="inherit" w:cs="Helvetica"/>
          <w:b/>
          <w:bCs/>
          <w:color w:val="000000"/>
          <w:sz w:val="41"/>
          <w:lang w:eastAsia="pl-PL"/>
        </w:rPr>
        <w:t>sali 424 na IV piętrze 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budynku Wydziału. Przerwy kawowe będą zorganizowane dla prelegentów w osobnej sali na I piętrze.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t>OTWARCIE OBRAD 9:00-9:30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t>PANEL I 9:30-11:00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 xml:space="preserve">Mgr Mariola </w:t>
      </w:r>
      <w:proofErr w:type="spellStart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Lekszycka</w:t>
      </w:r>
      <w:proofErr w:type="spellEnd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, Uniwersytet Kardynała Stefana Wyszyńskiego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lastRenderedPageBreak/>
        <w:t xml:space="preserve">Zwrot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performatywny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w obrazowości gry komputerowej, czyli kim jest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prosument</w:t>
      </w:r>
      <w:proofErr w:type="spellEnd"/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Mgr Alicja Wolak, Uniwersytet Jagielloński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Pomiędzy grą a interaktywną narracją. Zachodnie produkcje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visual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novels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jako przykład gier hybrydycznych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Mgr Joanna Sikorska, Uniwersytet im. A. Mickiewicza w Poznaniu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Gra w film. Wykorzystanie wzorców filmu gatunkowego i jego struktur narracyjnych w grach „Heavy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Rain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” oraz „Beyond: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Two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Souls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”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 w:line="608" w:lineRule="atLeast"/>
        <w:jc w:val="center"/>
        <w:textAlignment w:val="baseline"/>
        <w:outlineLvl w:val="4"/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  <w:t>PRZERWA KAWOWA 11:00-11:30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t>PANEL II 11:30-13:00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Mgr Paweł Gąska, Uniwersytet Mikołaja Kopernika w Toruniu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Gry komputerowe jako systemy negocjacji technik i sensów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Janusz Guzowski, Uniwersytet Mikołaja Kopernika w Toruniu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lastRenderedPageBreak/>
        <w:t>You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died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. Porażka jako źródło satysfakcji w „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Dark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Souls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”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Aleksandra Łuksza, Uniwersytet Mikołaja Kopernika w Toruniu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Programy i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antyprogramy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. O trudnych, acz zaskakujących, relacjach twórców z graczami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 w:line="608" w:lineRule="atLeast"/>
        <w:jc w:val="center"/>
        <w:textAlignment w:val="baseline"/>
        <w:outlineLvl w:val="4"/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  <w:t>PRZERWA KAWOWA 13:00-13:30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3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t>PANEL III 13:30-15:00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 xml:space="preserve">Dr Łukasz </w:t>
      </w:r>
      <w:proofErr w:type="spellStart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Androsiuk</w:t>
      </w:r>
      <w:proofErr w:type="spellEnd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, Akademia Pomorska w Słupsku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Retoryczna teoria ideologii w kontekście studiów nad grami wideo na wybranych przykładach – zachęta do refleksji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Mgr Piotr Popiołek, Uniwersytet Papieski Jana Pawła II w Krakowie, Uniwersytet Jagielloński</w:t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szCs w:val="41"/>
          <w:bdr w:val="none" w:sz="0" w:space="0" w:color="auto" w:frame="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Prolegomena do teologii gier wideo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Mgr Marta Tymińska, Uniwersytet Gdański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Awatary w grach cyfrowych w perspektywie antropologicznej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4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pl-PL"/>
        </w:rPr>
        <w:t>PIĄTEK, 3 czerwca 2016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35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t>PANEL IV 10:00-11:30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 xml:space="preserve">Mgr Martyna </w:t>
      </w:r>
      <w:proofErr w:type="spellStart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Bakun</w:t>
      </w:r>
      <w:proofErr w:type="spellEnd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, Uniwersytet Marii Curie-Skłodowskiej w Lublinie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Zwrot ku codzienności – trend we współczesnych grach wideo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Mgr Grzegorz Zyzik, Uniwersytet Opolski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„Żyj i pozwól umrzeć”. Problematyka moralności u gracza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Mgr Agnieszka Kochańska, Instytut Slawistyki PAN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Frazeologia i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intertekstualność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w polskich nazwach osiągnięć wybranych gier wideo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6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 w:line="608" w:lineRule="atLeast"/>
        <w:jc w:val="center"/>
        <w:textAlignment w:val="baseline"/>
        <w:outlineLvl w:val="4"/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  <w:t>PRZERWA KAWOWA 11:30-12:00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7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t>PANEL V 12:00-13:30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Dr Michał Kłosiński, Uniwersytet Śląski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Immersja i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emersja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, czyli o tym, co nas wciąga i co wyłazi nam z ekranu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lastRenderedPageBreak/>
        <w:t>Dr Piotr Kubiński, Uniwersytet Warszawski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Interaktywność i sztuka interaktywna w świetle gier wideo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 xml:space="preserve">Mgr Jakub </w:t>
      </w:r>
      <w:proofErr w:type="spellStart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Alejski</w:t>
      </w:r>
      <w:proofErr w:type="spellEnd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, Uniwersytet im. Adama Mickiewicza w Poznaniu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Strategie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ludonarracyjne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wobec struktury otwartego świata w grach wideo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8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 w:line="608" w:lineRule="atLeast"/>
        <w:jc w:val="center"/>
        <w:textAlignment w:val="baseline"/>
        <w:outlineLvl w:val="4"/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  <w:t>PRZERWA OBIADOWA 13:30-15:30</w:t>
      </w:r>
      <w:r w:rsidRPr="00703595"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  <w:br/>
        <w:t>(WE WŁASNYM ZAKRESIE)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9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>
        <w:rPr>
          <w:rFonts w:ascii="inherit" w:eastAsia="Times New Roman" w:hAnsi="inherit" w:cs="Helvetica"/>
          <w:caps/>
          <w:noProof/>
          <w:color w:val="81699B"/>
          <w:sz w:val="45"/>
          <w:szCs w:val="45"/>
          <w:bdr w:val="none" w:sz="0" w:space="0" w:color="auto" w:frame="1"/>
          <w:lang w:eastAsia="pl-PL"/>
        </w:rPr>
        <w:drawing>
          <wp:inline distT="0" distB="0" distL="0" distR="0">
            <wp:extent cx="1300480" cy="1628775"/>
            <wp:effectExtent l="19050" t="0" r="0" b="0"/>
            <wp:docPr id="16" name="Obraz 16" descr="13020189_10154151968794294_1636485725_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3020189_10154151968794294_1636485725_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t>WYKŁAD PLENARNY 15:30-17:00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 xml:space="preserve">Dr hab. Paweł </w:t>
      </w:r>
      <w:proofErr w:type="spellStart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Frelik</w:t>
      </w:r>
      <w:proofErr w:type="spellEnd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,</w:t>
      </w:r>
      <w:r w:rsidRPr="00703595">
        <w:rPr>
          <w:rFonts w:ascii="Helvetica" w:eastAsia="Times New Roman" w:hAnsi="Helvetica" w:cs="Helvetica"/>
          <w:color w:val="000000"/>
          <w:sz w:val="41"/>
          <w:lang w:eastAsia="pl-PL"/>
        </w:rPr>
        <w:t> </w:t>
      </w:r>
      <w:hyperlink r:id="rId6" w:tgtFrame="_blank" w:history="1">
        <w:r w:rsidRPr="00703595">
          <w:rPr>
            <w:rFonts w:ascii="inherit" w:eastAsia="Times New Roman" w:hAnsi="inherit" w:cs="Helvetica"/>
            <w:color w:val="81699B"/>
            <w:sz w:val="41"/>
            <w:lang w:eastAsia="pl-PL"/>
          </w:rPr>
          <w:t>Centrum Badań Gier Wideo</w:t>
        </w:r>
      </w:hyperlink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, Uniwersytet Marii Curie-Skłodowskiej w Lublinie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Cyfrowe narzędzia pana: kapitalizm kognitywny a praktyki graczy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W czas trwania wykładu wliczona jest półgodzinna dyskusja.</w:t>
      </w:r>
      <w:r w:rsidRPr="00703595">
        <w:rPr>
          <w:rFonts w:ascii="Helvetica" w:eastAsia="Times New Roman" w:hAnsi="Helvetica" w:cs="Helvetica"/>
          <w:color w:val="000000"/>
          <w:sz w:val="41"/>
          <w:lang w:eastAsia="pl-PL"/>
        </w:rPr>
        <w:t> 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 xml:space="preserve"> 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0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lastRenderedPageBreak/>
        <w:t>SPOTKANIE AUTORSKIE 18:00-19:00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Dr Piotr Kubiński,</w:t>
      </w:r>
      <w:r w:rsidRPr="00703595">
        <w:rPr>
          <w:rFonts w:ascii="Helvetica" w:eastAsia="Times New Roman" w:hAnsi="Helvetica" w:cs="Helvetica"/>
          <w:color w:val="000000"/>
          <w:sz w:val="41"/>
          <w:lang w:eastAsia="pl-PL"/>
        </w:rPr>
        <w:t> </w:t>
      </w:r>
      <w:hyperlink r:id="rId7" w:tgtFrame="_blank" w:history="1">
        <w:r w:rsidRPr="00703595">
          <w:rPr>
            <w:rFonts w:ascii="inherit" w:eastAsia="Times New Roman" w:hAnsi="inherit" w:cs="Helvetica"/>
            <w:i/>
            <w:iCs/>
            <w:color w:val="81699B"/>
            <w:sz w:val="41"/>
            <w:lang w:eastAsia="pl-PL"/>
          </w:rPr>
          <w:t>Gry wideo. Zarys poetyki</w:t>
        </w:r>
        <w:r w:rsidRPr="00703595">
          <w:rPr>
            <w:rFonts w:ascii="inherit" w:eastAsia="Times New Roman" w:hAnsi="inherit" w:cs="Helvetica"/>
            <w:color w:val="81699B"/>
            <w:sz w:val="41"/>
            <w:lang w:eastAsia="pl-PL"/>
          </w:rPr>
          <w:t> (</w:t>
        </w:r>
        <w:proofErr w:type="spellStart"/>
        <w:r w:rsidRPr="00703595">
          <w:rPr>
            <w:rFonts w:ascii="inherit" w:eastAsia="Times New Roman" w:hAnsi="inherit" w:cs="Helvetica"/>
            <w:color w:val="81699B"/>
            <w:sz w:val="41"/>
            <w:lang w:eastAsia="pl-PL"/>
          </w:rPr>
          <w:t>Universitas</w:t>
        </w:r>
        <w:proofErr w:type="spellEnd"/>
        <w:r w:rsidRPr="00703595">
          <w:rPr>
            <w:rFonts w:ascii="inherit" w:eastAsia="Times New Roman" w:hAnsi="inherit" w:cs="Helvetica"/>
            <w:color w:val="81699B"/>
            <w:sz w:val="41"/>
            <w:lang w:eastAsia="pl-PL"/>
          </w:rPr>
          <w:t xml:space="preserve"> 2016)</w:t>
        </w:r>
      </w:hyperlink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.</w:t>
      </w:r>
      <w:r w:rsidRPr="00703595">
        <w:rPr>
          <w:rFonts w:ascii="Helvetica" w:eastAsia="Times New Roman" w:hAnsi="Helvetica" w:cs="Helvetica"/>
          <w:color w:val="000000"/>
          <w:sz w:val="41"/>
          <w:lang w:eastAsia="pl-PL"/>
        </w:rPr>
        <w:t> </w:t>
      </w:r>
      <w:hyperlink r:id="rId8" w:tgtFrame="_blank" w:history="1">
        <w:r w:rsidRPr="00703595">
          <w:rPr>
            <w:rFonts w:ascii="inherit" w:eastAsia="Times New Roman" w:hAnsi="inherit" w:cs="Helvetica"/>
            <w:color w:val="81699B"/>
            <w:sz w:val="41"/>
            <w:lang w:eastAsia="pl-PL"/>
          </w:rPr>
          <w:t>Więcej…</w:t>
        </w:r>
      </w:hyperlink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1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pl-PL"/>
        </w:rPr>
        <w:t>SOBOTA, 4 czerwca 2016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2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t>PANEL VI  10:00-11:30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Mgr Franciszek Sobieraj, Collegium Civitas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Dlaczego gry wideo nie rządzą społeczeństwem globalnym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 xml:space="preserve">Mgr Marcin </w:t>
      </w:r>
      <w:proofErr w:type="spellStart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Petrowicz</w:t>
      </w:r>
      <w:proofErr w:type="spellEnd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, Uniwersytet Jagielloński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Imprezowe karty, plansze i piksele. Dynamiki gier imprezowych jako wyznaczniki gatunku międzyplatformowego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 xml:space="preserve">Mgr inż. Stanisław </w:t>
      </w:r>
      <w:proofErr w:type="spellStart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Skulimowski</w:t>
      </w:r>
      <w:proofErr w:type="spellEnd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, Politechnika Lubelska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Wyniki analizy danych z bazy gier elektronicznych 2015 roku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3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 w:line="608" w:lineRule="atLeast"/>
        <w:jc w:val="center"/>
        <w:textAlignment w:val="baseline"/>
        <w:outlineLvl w:val="4"/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  <w:t>PRZERWA KAWOWA 11:30-12:00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4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t>PANEL VII 12:00-13:00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lastRenderedPageBreak/>
        <w:t>Mgr Miłosz Markocki, Uniwersytet Mikołaja Kopernika w Toruniu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Narzędzia do prowadzenia narracji awatara w grach MMORPG na przykładzie „Star Wars: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The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Old Republic”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 xml:space="preserve">Michał </w:t>
      </w:r>
      <w:proofErr w:type="spellStart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Szczepaniec</w:t>
      </w:r>
      <w:proofErr w:type="spellEnd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, Uniwersytet Wrocławski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Transhumanizm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poprzez granie</w:t>
      </w:r>
    </w:p>
    <w:p w:rsidR="00703595" w:rsidRPr="00703595" w:rsidRDefault="00703595" w:rsidP="00703595">
      <w:pPr>
        <w:shd w:val="clear" w:color="auto" w:fill="FFFFFF"/>
        <w:spacing w:after="360"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 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5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 w:line="608" w:lineRule="atLeast"/>
        <w:jc w:val="center"/>
        <w:textAlignment w:val="baseline"/>
        <w:outlineLvl w:val="4"/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pl-PL"/>
        </w:rPr>
        <w:t>PRZERWA KAWOWA 13:00-13:30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6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t>PANEL VIII 13:30-15:00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Mgr Adam Orlik, Uniwersytet Marii Curie-Skłodowskiej w Lublinie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„Filozoficzny, uduchowiony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shooter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”. Wizja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postapokaliptycznej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rzeczywistości w Uniwersum Metro 2033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Paweł Mirowski, Akademia Górniczo-Hutnicza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Cytaty kulturowe w grze „Wiedźmin – Dziki Gon”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 xml:space="preserve">Mgr </w:t>
      </w:r>
      <w:proofErr w:type="spellStart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Emmanuella</w:t>
      </w:r>
      <w:proofErr w:type="spellEnd"/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 xml:space="preserve"> Robak, Uniwersytet Jana Kochanowskiego w Kielcach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br/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lastRenderedPageBreak/>
        <w:t xml:space="preserve">„American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McGee’s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Alice” i „Alice: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Madness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 xml:space="preserve"> </w:t>
      </w:r>
      <w:proofErr w:type="spellStart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Returns</w:t>
      </w:r>
      <w:proofErr w:type="spellEnd"/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” – alternatywne wersje Krainy Czarów</w:t>
      </w:r>
    </w:p>
    <w:p w:rsidR="00703595" w:rsidRPr="00703595" w:rsidRDefault="00703595" w:rsidP="00703595">
      <w:pPr>
        <w:shd w:val="clear" w:color="auto" w:fill="FFFFFF"/>
        <w:spacing w:after="360"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 </w:t>
      </w:r>
    </w:p>
    <w:p w:rsidR="00703595" w:rsidRPr="00703595" w:rsidRDefault="00703595" w:rsidP="00703595">
      <w:pPr>
        <w:spacing w:after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5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7" style="width:0;height:1.15pt" o:hralign="center" o:hrstd="t" o:hrnoshade="t" o:hr="t" fillcolor="black" stroked="f"/>
        </w:pict>
      </w:r>
    </w:p>
    <w:p w:rsidR="00703595" w:rsidRPr="00703595" w:rsidRDefault="00703595" w:rsidP="00703595">
      <w:pPr>
        <w:shd w:val="clear" w:color="auto" w:fill="FFFFFF"/>
        <w:spacing w:before="180" w:after="180"/>
        <w:textAlignment w:val="baseline"/>
        <w:outlineLvl w:val="3"/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</w:pPr>
      <w:r w:rsidRPr="00703595">
        <w:rPr>
          <w:rFonts w:ascii="Helvetica" w:eastAsia="Times New Roman" w:hAnsi="Helvetica" w:cs="Helvetica"/>
          <w:b/>
          <w:bCs/>
          <w:caps/>
          <w:color w:val="000000"/>
          <w:sz w:val="27"/>
          <w:szCs w:val="27"/>
          <w:lang w:eastAsia="pl-PL"/>
        </w:rPr>
        <w:t>ZAMKNIĘCIE OBRAD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Informacje nt. IV tomu “Perspektyw Ponowoczesności” </w:t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Dyskursy gier wideo 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pod redakcją Michała Kłosińskiego i Krzysztofa M. Maja</w:t>
      </w:r>
    </w:p>
    <w:p w:rsidR="00703595" w:rsidRPr="00703595" w:rsidRDefault="00703595" w:rsidP="00703595">
      <w:pPr>
        <w:shd w:val="clear" w:color="auto" w:fill="FFFFFF"/>
        <w:spacing w:line="608" w:lineRule="atLeast"/>
        <w:textAlignment w:val="baseline"/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</w:pP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Informacje nt. 3. edycji </w:t>
      </w:r>
      <w:r w:rsidRPr="00703595">
        <w:rPr>
          <w:rFonts w:ascii="inherit" w:eastAsia="Times New Roman" w:hAnsi="inherit" w:cs="Helvetica"/>
          <w:i/>
          <w:iCs/>
          <w:color w:val="000000"/>
          <w:sz w:val="41"/>
          <w:lang w:eastAsia="pl-PL"/>
        </w:rPr>
        <w:t>Dyskursów gier wideo</w:t>
      </w:r>
      <w:r w:rsidRPr="00703595">
        <w:rPr>
          <w:rFonts w:ascii="Helvetica" w:eastAsia="Times New Roman" w:hAnsi="Helvetica" w:cs="Helvetica"/>
          <w:color w:val="000000"/>
          <w:sz w:val="41"/>
          <w:lang w:eastAsia="pl-PL"/>
        </w:rPr>
        <w:t> </w:t>
      </w:r>
      <w:r w:rsidRPr="00703595">
        <w:rPr>
          <w:rFonts w:ascii="Helvetica" w:eastAsia="Times New Roman" w:hAnsi="Helvetica" w:cs="Helvetica"/>
          <w:color w:val="000000"/>
          <w:sz w:val="41"/>
          <w:szCs w:val="41"/>
          <w:lang w:eastAsia="pl-PL"/>
        </w:rPr>
        <w:t>w 2017 roku</w:t>
      </w:r>
    </w:p>
    <w:p w:rsidR="00A43B58" w:rsidRDefault="00A43B58"/>
    <w:sectPr w:rsidR="00A43B58" w:rsidSect="00A4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/>
  <w:defaultTabStop w:val="708"/>
  <w:hyphenationZone w:val="425"/>
  <w:characterSpacingControl w:val="doNotCompress"/>
  <w:compat/>
  <w:rsids>
    <w:rsidRoot w:val="00703595"/>
    <w:rsid w:val="002C0B10"/>
    <w:rsid w:val="002E4EA0"/>
    <w:rsid w:val="00703595"/>
    <w:rsid w:val="008E0421"/>
    <w:rsid w:val="00A4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B58"/>
  </w:style>
  <w:style w:type="paragraph" w:styleId="Nagwek3">
    <w:name w:val="heading 3"/>
    <w:basedOn w:val="Normalny"/>
    <w:link w:val="Nagwek3Znak"/>
    <w:uiPriority w:val="9"/>
    <w:qFormat/>
    <w:rsid w:val="0070359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0359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70359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0359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035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035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035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3595"/>
    <w:rPr>
      <w:b/>
      <w:bCs/>
    </w:rPr>
  </w:style>
  <w:style w:type="character" w:styleId="Uwydatnienie">
    <w:name w:val="Emphasis"/>
    <w:basedOn w:val="Domylnaczcionkaakapitu"/>
    <w:uiPriority w:val="20"/>
    <w:qFormat/>
    <w:rsid w:val="0070359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0359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03595"/>
  </w:style>
  <w:style w:type="paragraph" w:styleId="Tekstdymka">
    <w:name w:val="Balloon Text"/>
    <w:basedOn w:val="Normalny"/>
    <w:link w:val="TekstdymkaZnak"/>
    <w:uiPriority w:val="99"/>
    <w:semiHidden/>
    <w:unhideWhenUsed/>
    <w:rsid w:val="00703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skursygierwideo.wordpress.com/2016/05/24/spotkanie-autorsk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yskursygierwideo.wordpress.com/2016/05/24/spotkanie-autorsk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y.umcs.lublin.p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facebook.com/events/47648786256230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670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</cp:revision>
  <dcterms:created xsi:type="dcterms:W3CDTF">2016-09-12T07:45:00Z</dcterms:created>
  <dcterms:modified xsi:type="dcterms:W3CDTF">2016-09-12T07:46:00Z</dcterms:modified>
</cp:coreProperties>
</file>